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Digital Curation Centre: My Curation Center's Default Template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Collection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will you collect or create?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data be collected or created?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Documentation and Metadata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documentation and metadata will accompany the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Ethics and Legal Compliance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manage any ethical issues?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manage copyright and Intellectual Property Rights (IPR) issues?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Storage and Backup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data be stored and backed up during the research?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manage access and security?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Selection and Preservation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Which data are of long-term value and should be retained, shared, and/or preserved?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is the long-term preservation plan for the dataset?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Sharing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share the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Are any restrictions on data sharing required?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Responsibilities and Resources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Who will be responsible for data management?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resources will you require to deliver your plan?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